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周继良</w:t>
      </w:r>
    </w:p>
    <w:p>
      <w:pPr>
        <w:spacing w:line="360" w:lineRule="auto"/>
        <w:jc w:val="center"/>
        <w:rPr>
          <w:rFonts w:ascii="宋体" w:hAnsi="宋体" w:cs="宋体"/>
          <w:szCs w:val="21"/>
        </w:rPr>
      </w:pPr>
      <w:bookmarkStart w:id="0" w:name="_Toc81581105"/>
      <w:r>
        <w:rPr>
          <w:rFonts w:hint="eastAsia" w:ascii="黑体" w:hAnsi="黑体" w:eastAsia="黑体" w:cs="Arial"/>
          <w:b/>
          <w:color w:val="000000"/>
          <w:kern w:val="0"/>
          <w:sz w:val="24"/>
        </w:rPr>
        <w:drawing>
          <wp:inline distT="0" distB="0" distL="0" distR="0">
            <wp:extent cx="1183640" cy="1501140"/>
            <wp:effectExtent l="0" t="0" r="0" b="3810"/>
            <wp:docPr id="2" name="图片 2" descr="218157(教科院周继良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8157(教科院周继良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814" cy="150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>
      <w:pPr>
        <w:spacing w:line="360" w:lineRule="auto"/>
        <w:ind w:firstLine="482" w:firstLineChars="200"/>
        <w:rPr>
          <w:rFonts w:ascii="楷体_GB2312" w:hAnsi="Times New Roman" w:eastAsia="楷体_GB2312"/>
          <w:b/>
          <w:bCs/>
          <w:kern w:val="2"/>
          <w:sz w:val="24"/>
        </w:rPr>
      </w:pPr>
      <w:r>
        <w:rPr>
          <w:rFonts w:hint="eastAsia" w:ascii="楷体_GB2312" w:hAnsi="Times New Roman" w:eastAsia="楷体_GB2312"/>
          <w:b/>
          <w:bCs/>
          <w:kern w:val="2"/>
          <w:sz w:val="24"/>
        </w:rPr>
        <w:t>一、基本情况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周继良，1976年1月生，四川资中人，教授，教育学博士，江苏师范大学硕士生导师（高等教育学、教育经济与管理专业）。现任中国高等教育学会高等教育学专业委员会理事、中国高等教育学会院校研究分会理事和江苏省高等教育学会理事。</w:t>
      </w:r>
    </w:p>
    <w:p>
      <w:pPr>
        <w:spacing w:line="360" w:lineRule="auto"/>
        <w:ind w:firstLine="482" w:firstLineChars="200"/>
        <w:rPr>
          <w:rFonts w:ascii="楷体_GB2312" w:hAnsi="Times New Roman" w:eastAsia="楷体_GB2312"/>
          <w:b/>
          <w:bCs/>
          <w:kern w:val="2"/>
          <w:sz w:val="24"/>
        </w:rPr>
      </w:pPr>
      <w:r>
        <w:rPr>
          <w:rFonts w:hint="eastAsia" w:ascii="楷体_GB2312" w:hAnsi="Times New Roman" w:eastAsia="楷体_GB2312"/>
          <w:b/>
          <w:bCs/>
          <w:kern w:val="2"/>
          <w:sz w:val="24"/>
        </w:rPr>
        <w:t>二、学习经历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1995.09—1999.06 中南财经政法大学 财政与税务学院，财政学，本科；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2005.09—2008.12 南京大学 政府管理学院，公共管理，硕士；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2010.09—2015.03 南京大学 教育研究院，高等教育学，博士。</w:t>
      </w:r>
    </w:p>
    <w:p>
      <w:pPr>
        <w:spacing w:line="360" w:lineRule="auto"/>
        <w:ind w:firstLine="482" w:firstLineChars="200"/>
        <w:rPr>
          <w:rFonts w:ascii="楷体_GB2312" w:hAnsi="Times New Roman" w:eastAsia="楷体_GB2312"/>
          <w:b/>
          <w:bCs/>
          <w:kern w:val="2"/>
          <w:sz w:val="24"/>
        </w:rPr>
      </w:pPr>
      <w:r>
        <w:rPr>
          <w:rFonts w:hint="eastAsia" w:ascii="楷体_GB2312" w:hAnsi="Times New Roman" w:eastAsia="楷体_GB2312"/>
          <w:b/>
          <w:bCs/>
          <w:kern w:val="2"/>
          <w:sz w:val="24"/>
        </w:rPr>
        <w:t>三、工作经历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1999.07—2015.09  先后在南京财经大学财政学系、教务处、高教研究所、评估办公室、公共管理学院工作。曾担任高教研究所副所长、评估办副主任和公共管理学院副院长职务，副研究员；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2015.09—2019.03  常州大学高教研究院，副院长，副研究员；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2019.03至今  江苏师范大学教育科学学院，副教授（转评），教授。</w:t>
      </w:r>
    </w:p>
    <w:p>
      <w:pPr>
        <w:spacing w:line="360" w:lineRule="auto"/>
        <w:ind w:firstLine="482" w:firstLineChars="200"/>
        <w:rPr>
          <w:rFonts w:ascii="楷体_GB2312" w:hAnsi="Times New Roman" w:eastAsia="楷体_GB2312"/>
          <w:b/>
          <w:bCs/>
          <w:kern w:val="2"/>
          <w:sz w:val="24"/>
        </w:rPr>
      </w:pPr>
      <w:r>
        <w:rPr>
          <w:rFonts w:hint="eastAsia" w:ascii="楷体_GB2312" w:hAnsi="Times New Roman" w:eastAsia="楷体_GB2312"/>
          <w:b/>
          <w:bCs/>
          <w:kern w:val="2"/>
          <w:sz w:val="24"/>
        </w:rPr>
        <w:t>四、</w:t>
      </w:r>
      <w:r>
        <w:rPr>
          <w:rFonts w:ascii="楷体_GB2312" w:hAnsi="Times New Roman" w:eastAsia="楷体_GB2312"/>
          <w:b/>
          <w:bCs/>
          <w:kern w:val="2"/>
          <w:sz w:val="24"/>
        </w:rPr>
        <w:t>教学与人才培养</w:t>
      </w:r>
      <w:r>
        <w:rPr>
          <w:rFonts w:hint="eastAsia" w:ascii="楷体_GB2312" w:hAnsi="Times New Roman" w:eastAsia="楷体_GB2312"/>
          <w:b/>
          <w:bCs/>
          <w:kern w:val="2"/>
          <w:sz w:val="24"/>
        </w:rPr>
        <w:t>工作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承担的本科生课程主要有</w:t>
      </w:r>
      <w:r>
        <w:rPr>
          <w:rFonts w:hint="eastAsia" w:ascii="宋体" w:hAnsi="宋体" w:cs="宋体"/>
          <w:szCs w:val="21"/>
        </w:rPr>
        <w:t>《教育学》《班级管理》《公共管理导论》等；</w:t>
      </w:r>
      <w:r>
        <w:rPr>
          <w:rFonts w:ascii="宋体" w:hAnsi="宋体" w:cs="宋体"/>
          <w:szCs w:val="21"/>
        </w:rPr>
        <w:t>研究生课程主要有</w:t>
      </w:r>
      <w:r>
        <w:rPr>
          <w:rFonts w:hint="eastAsia" w:ascii="宋体" w:hAnsi="宋体" w:cs="宋体"/>
          <w:szCs w:val="21"/>
        </w:rPr>
        <w:t>《教育原理》《社会科学研究方法》《教育管理史》《教育学学术前沿专题研究》《教育学学科发展前沿专题》等。指导学生发表北大核心及CSSCI扩展版论文4篇、省级科研创新项目3项，指导1名硕士研究生考取博士研究生。</w:t>
      </w:r>
    </w:p>
    <w:p>
      <w:pPr>
        <w:spacing w:line="360" w:lineRule="auto"/>
        <w:ind w:firstLine="482" w:firstLineChars="200"/>
        <w:rPr>
          <w:rFonts w:ascii="楷体_GB2312" w:hAnsi="Times New Roman" w:eastAsia="楷体_GB2312"/>
          <w:b/>
          <w:bCs/>
          <w:kern w:val="2"/>
          <w:sz w:val="24"/>
        </w:rPr>
      </w:pPr>
      <w:r>
        <w:rPr>
          <w:rFonts w:hint="eastAsia" w:ascii="楷体_GB2312" w:hAnsi="Times New Roman" w:eastAsia="楷体_GB2312"/>
          <w:b/>
          <w:bCs/>
          <w:kern w:val="2"/>
          <w:sz w:val="24"/>
        </w:rPr>
        <w:t>五、科研成果基本情况</w:t>
      </w:r>
    </w:p>
    <w:p>
      <w:pPr>
        <w:spacing w:line="360" w:lineRule="auto"/>
        <w:ind w:firstLine="430"/>
        <w:rPr>
          <w:rFonts w:ascii="宋体" w:hAnsi="宋体" w:cs="宋体"/>
          <w:szCs w:val="21"/>
        </w:rPr>
      </w:pPr>
      <w:r>
        <w:rPr>
          <w:rFonts w:hint="eastAsia" w:ascii="楷体" w:hAnsi="楷体" w:eastAsia="楷体" w:cs="宋体"/>
          <w:b/>
          <w:szCs w:val="21"/>
        </w:rPr>
        <w:t>研究领域：</w:t>
      </w:r>
      <w:r>
        <w:rPr>
          <w:rFonts w:hint="eastAsia" w:ascii="宋体" w:hAnsi="宋体" w:cs="宋体"/>
          <w:szCs w:val="21"/>
        </w:rPr>
        <w:t>主要从事高等教育管理、比较高等教育以及公共管理研究。</w:t>
      </w:r>
    </w:p>
    <w:p>
      <w:pPr>
        <w:spacing w:line="360" w:lineRule="auto"/>
        <w:ind w:firstLine="430"/>
        <w:rPr>
          <w:rFonts w:ascii="宋体" w:hAnsi="宋体" w:cs="宋体"/>
          <w:szCs w:val="21"/>
        </w:rPr>
      </w:pPr>
      <w:r>
        <w:rPr>
          <w:rFonts w:hint="eastAsia" w:ascii="楷体" w:hAnsi="楷体" w:eastAsia="楷体" w:cs="宋体"/>
          <w:b/>
          <w:szCs w:val="21"/>
        </w:rPr>
        <w:t>主持课题：</w:t>
      </w:r>
      <w:r>
        <w:rPr>
          <w:rFonts w:hint="eastAsia" w:ascii="宋体" w:hAnsi="宋体" w:cs="宋体"/>
          <w:szCs w:val="21"/>
        </w:rPr>
        <w:t>主持国家社科基金一般项目《我国创建世界一流大学的公共决策与资源配置模式研究》（编号17BGL173），江苏高校哲学社会科学研究2018年度重点项目《江苏高水平大学建设的差异化策略与评价体系研究》（编号2018SJZDI168），全国教育科学“十二五”规划教育部青年项目《行为博弈理论视角下的高校学生评教制度安排研究——基于南京市若干大学的调查分析》（编号EIA120381，结项），江苏省教育科学“十二五”规划课题《应用型本科院校通识教育实施成效研究》(编号D/2013/01/013，结项)等科研项目。</w:t>
      </w:r>
    </w:p>
    <w:p>
      <w:pPr>
        <w:spacing w:line="360" w:lineRule="auto"/>
        <w:ind w:firstLine="430"/>
        <w:rPr>
          <w:rFonts w:ascii="宋体" w:hAnsi="宋体" w:cs="宋体"/>
          <w:szCs w:val="21"/>
        </w:rPr>
      </w:pPr>
      <w:r>
        <w:rPr>
          <w:rFonts w:hint="eastAsia" w:ascii="楷体" w:hAnsi="楷体" w:eastAsia="楷体" w:cs="宋体"/>
          <w:b/>
          <w:szCs w:val="21"/>
        </w:rPr>
        <w:t>成果与获奖：</w:t>
      </w:r>
      <w:r>
        <w:rPr>
          <w:rFonts w:hint="eastAsia" w:ascii="宋体" w:hAnsi="宋体" w:cs="宋体"/>
          <w:szCs w:val="21"/>
        </w:rPr>
        <w:t>已在《教育研究》《高等教育研究》《比较教育研究》《中国高教研究》《复旦教育论坛》《教育科学》《现代大学教育》《大学教育科学》《内蒙古社会科学》《重庆高教研究》《现代教育管理》《四川师范大学学报》（社科版）等期刊发表学术论文70多篇。其中CSSCI来源期刊23篇，被《新华文摘》论点摘编2篇，人大复印资料全文转载5篇，《高等学校文科学术文摘》长文转载2篇。博士论文获得第十二届“高等教育学”优秀博士学位论文（2016年10月）；在高校教师教学评价、高校内部治理研究等方面获得市厅级奖励二等奖1项、三等奖3项。</w:t>
      </w:r>
    </w:p>
    <w:p>
      <w:pPr>
        <w:spacing w:line="360" w:lineRule="auto"/>
        <w:ind w:firstLine="422" w:firstLineChars="200"/>
        <w:rPr>
          <w:rFonts w:ascii="楷体" w:hAnsi="楷体" w:eastAsia="楷体" w:cs="宋体"/>
          <w:b/>
          <w:szCs w:val="21"/>
        </w:rPr>
      </w:pPr>
      <w:r>
        <w:rPr>
          <w:rFonts w:hint="eastAsia" w:ascii="楷体" w:hAnsi="楷体" w:eastAsia="楷体" w:cs="宋体"/>
          <w:b/>
          <w:szCs w:val="21"/>
        </w:rPr>
        <w:t>代表性论文：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1.核心与附加指标的统一:加拿大大学学生评教指标体系的精髓——以曼尼托巴大学为例，比较教育研究，2013（05）；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2.法国大学内部治理结构：历史嬗变与价值追求——基于中世纪至2013年的分析，教育研究，2015(03)；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3.高校学生评教的制度定位逻辑及其纠偏——基于学生评教制度文本的分析，中国高教研究，2017（11）；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4.高校学生评教行为偏差及其与学科类别、学校类型和学业自评的关系——基于南京和常州十所高校的实证调查，高等教育研究，2017（10）；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5.高校学生评教行为偏差影响因素的实证研究——基于制度分析的视角，高等教育研究，2018(02)；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6.高校学生评教行为偏差基本类型及其与学生相关背景特征的关系，复旦教育论坛，2018（06）；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7.学科评估与一流学科建设的制度平衡，高教发展与评估，2018（06）.新华文摘（论点摘编），高等学校文科学术文摘长文转载；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8.学科评估结果的理性评判及其与世界一流学科建设的关系，重庆高教研究，2021（01），高等学校文科学术文摘长文转载；</w:t>
      </w:r>
    </w:p>
    <w:p>
      <w:pPr>
        <w:spacing w:line="360" w:lineRule="auto"/>
        <w:ind w:left="420" w:leftChars="200"/>
        <w:rPr>
          <w:rFonts w:ascii="宋体" w:hAnsi="宋体" w:cs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9.现代产业学院的组织属性与制度创新，内蒙古社会科学，2021（03）；</w:t>
      </w:r>
    </w:p>
    <w:p>
      <w:pPr>
        <w:spacing w:line="360" w:lineRule="auto"/>
        <w:ind w:left="630" w:leftChars="200" w:hanging="210" w:hanging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10.寻根问路:中国共产党对高校劳动教育的百年探索与经验启示，重庆高教研究，2021（04），中国社会科学网转载；</w:t>
      </w:r>
    </w:p>
    <w:p>
      <w:pPr>
        <w:spacing w:line="360" w:lineRule="auto"/>
        <w:ind w:left="420" w:left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11.高校学生学业增值评价：基本属性、现实困境与实践理路，现代教育管理，2021（12）。</w:t>
      </w:r>
    </w:p>
    <w:p>
      <w:pPr>
        <w:spacing w:line="360" w:lineRule="auto"/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楷体" w:hAnsi="楷体" w:eastAsia="楷体" w:cs="宋体"/>
          <w:b/>
          <w:szCs w:val="21"/>
        </w:rPr>
        <w:t>学术专著：</w:t>
      </w:r>
      <w:r>
        <w:rPr>
          <w:rFonts w:hint="eastAsia" w:ascii="宋体" w:hAnsi="宋体" w:cs="宋体"/>
          <w:szCs w:val="21"/>
        </w:rPr>
        <w:t>高校学生评教行为偏差及其影响因素研究，北京工业大学出版社，2022年。</w:t>
      </w:r>
    </w:p>
    <w:p>
      <w:pPr>
        <w:spacing w:line="360" w:lineRule="auto"/>
        <w:ind w:firstLine="482" w:firstLineChars="200"/>
        <w:rPr>
          <w:rFonts w:ascii="宋体" w:hAnsi="宋体" w:cs="宋体"/>
          <w:szCs w:val="21"/>
        </w:rPr>
      </w:pPr>
      <w:r>
        <w:rPr>
          <w:rFonts w:hint="eastAsia" w:ascii="楷体_GB2312" w:hAnsi="Times New Roman" w:eastAsia="楷体_GB2312"/>
          <w:b/>
          <w:bCs/>
          <w:kern w:val="2"/>
          <w:sz w:val="24"/>
        </w:rPr>
        <w:t>六、媒体互动</w:t>
      </w:r>
    </w:p>
    <w:p>
      <w:pPr>
        <w:spacing w:line="480" w:lineRule="exact"/>
        <w:ind w:left="794" w:leftChars="228" w:hanging="315" w:hangingChars="1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 2013年5月，接受江苏教育电视台采访，谈及本科专业目录的修订及本科专业设置管理办法的调整问题；</w:t>
      </w:r>
    </w:p>
    <w:p>
      <w:pPr>
        <w:spacing w:line="480" w:lineRule="exact"/>
        <w:ind w:left="794" w:leftChars="228" w:hanging="315" w:hangingChars="1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 2015年2月，接受江苏卫视教育频道采访，谈及教育部直属高校毕业生就业质量年度报告有关问题；</w:t>
      </w:r>
    </w:p>
    <w:p>
      <w:pPr>
        <w:spacing w:line="480" w:lineRule="exact"/>
        <w:ind w:left="794" w:leftChars="228" w:hanging="315" w:hangingChars="1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 2015年3月，接受江苏卫视教育频道采访，谈及浙江大学聘任27岁年轻博导有关问题；</w:t>
      </w:r>
    </w:p>
    <w:p>
      <w:pPr>
        <w:spacing w:line="480" w:lineRule="exact"/>
        <w:ind w:left="794" w:leftChars="228" w:hanging="315" w:hangingChars="1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 2016年9月，接受江苏卫视教育频道采访，谈及高校教师教学与科研成果评价制度改革问题；</w:t>
      </w:r>
    </w:p>
    <w:p>
      <w:pPr>
        <w:spacing w:line="480" w:lineRule="exact"/>
        <w:ind w:left="787" w:leftChars="228" w:hanging="308" w:hangingChars="14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 2016年10月，接受人民网采访，谈及高校教师教学学生评价制度改革问题</w:t>
      </w:r>
      <w:r>
        <w:rPr>
          <w:rFonts w:ascii="宋体" w:hAnsi="宋体" w:cs="宋体"/>
          <w:szCs w:val="21"/>
        </w:rPr>
        <w:t>（http://edu.people.com.cn/n1/2016/1102/c367001-28829397.html）</w:t>
      </w:r>
      <w:r>
        <w:rPr>
          <w:rFonts w:hint="eastAsia" w:ascii="宋体" w:hAnsi="宋体" w:cs="宋体"/>
          <w:szCs w:val="21"/>
        </w:rPr>
        <w:t>；</w:t>
      </w:r>
    </w:p>
    <w:p>
      <w:pPr>
        <w:widowControl/>
        <w:spacing w:line="480" w:lineRule="exact"/>
        <w:ind w:left="881" w:leftChars="224" w:hanging="411" w:hangingChars="196"/>
        <w:jc w:val="left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 2016年11月15日，在人民网教育专栏发表教育评论《高校收入分配不能只看项目、期刊与论文》，论及高校以增加知识价值为导向的收入分配制度与政策</w:t>
      </w:r>
      <w:r>
        <w:rPr>
          <w:rFonts w:ascii="宋体" w:hAnsi="宋体" w:cs="宋体"/>
          <w:szCs w:val="21"/>
        </w:rPr>
        <w:t>（http://edu.people.com.cn/n1/2016/1115/c367001-28861341.html）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53"/>
    <w:rsid w:val="00034126"/>
    <w:rsid w:val="00081796"/>
    <w:rsid w:val="00113CA1"/>
    <w:rsid w:val="00124239"/>
    <w:rsid w:val="0016706D"/>
    <w:rsid w:val="00176412"/>
    <w:rsid w:val="00187911"/>
    <w:rsid w:val="001A7630"/>
    <w:rsid w:val="001B1A25"/>
    <w:rsid w:val="001C72E7"/>
    <w:rsid w:val="001D7912"/>
    <w:rsid w:val="001F7843"/>
    <w:rsid w:val="00205018"/>
    <w:rsid w:val="00253895"/>
    <w:rsid w:val="002A5CDB"/>
    <w:rsid w:val="002B30EC"/>
    <w:rsid w:val="002D30B8"/>
    <w:rsid w:val="002D4AF2"/>
    <w:rsid w:val="00332B99"/>
    <w:rsid w:val="00332F34"/>
    <w:rsid w:val="00335B7F"/>
    <w:rsid w:val="003514C2"/>
    <w:rsid w:val="00360005"/>
    <w:rsid w:val="00365096"/>
    <w:rsid w:val="00395091"/>
    <w:rsid w:val="003C0247"/>
    <w:rsid w:val="003E1A73"/>
    <w:rsid w:val="00412D83"/>
    <w:rsid w:val="004C389E"/>
    <w:rsid w:val="005303F7"/>
    <w:rsid w:val="0053747A"/>
    <w:rsid w:val="00542EAF"/>
    <w:rsid w:val="0055671D"/>
    <w:rsid w:val="00572A62"/>
    <w:rsid w:val="00580EB6"/>
    <w:rsid w:val="00587CC5"/>
    <w:rsid w:val="00593B04"/>
    <w:rsid w:val="00595517"/>
    <w:rsid w:val="00625652"/>
    <w:rsid w:val="0062579A"/>
    <w:rsid w:val="00664534"/>
    <w:rsid w:val="006B52F9"/>
    <w:rsid w:val="007048AF"/>
    <w:rsid w:val="00704A1C"/>
    <w:rsid w:val="00735317"/>
    <w:rsid w:val="0077680C"/>
    <w:rsid w:val="007B0CBA"/>
    <w:rsid w:val="007E2B65"/>
    <w:rsid w:val="008100B3"/>
    <w:rsid w:val="008112FC"/>
    <w:rsid w:val="008A116C"/>
    <w:rsid w:val="008A1C8B"/>
    <w:rsid w:val="008A2F39"/>
    <w:rsid w:val="008B7902"/>
    <w:rsid w:val="008D429F"/>
    <w:rsid w:val="00937F32"/>
    <w:rsid w:val="00960CCB"/>
    <w:rsid w:val="0097733C"/>
    <w:rsid w:val="0098107F"/>
    <w:rsid w:val="009E71A3"/>
    <w:rsid w:val="00A17E01"/>
    <w:rsid w:val="00A20589"/>
    <w:rsid w:val="00A54E9A"/>
    <w:rsid w:val="00A75ECD"/>
    <w:rsid w:val="00A81179"/>
    <w:rsid w:val="00A82E5B"/>
    <w:rsid w:val="00AA5458"/>
    <w:rsid w:val="00B322B0"/>
    <w:rsid w:val="00B94C71"/>
    <w:rsid w:val="00BB64CB"/>
    <w:rsid w:val="00BC5FEF"/>
    <w:rsid w:val="00BD2869"/>
    <w:rsid w:val="00BD4AA6"/>
    <w:rsid w:val="00BE4C2D"/>
    <w:rsid w:val="00BF2F63"/>
    <w:rsid w:val="00C2179A"/>
    <w:rsid w:val="00C526AE"/>
    <w:rsid w:val="00C71811"/>
    <w:rsid w:val="00CA4553"/>
    <w:rsid w:val="00CB49E4"/>
    <w:rsid w:val="00CE4359"/>
    <w:rsid w:val="00D85374"/>
    <w:rsid w:val="00D869A6"/>
    <w:rsid w:val="00D903AB"/>
    <w:rsid w:val="00DA1052"/>
    <w:rsid w:val="00DA197C"/>
    <w:rsid w:val="00E17853"/>
    <w:rsid w:val="00E329DD"/>
    <w:rsid w:val="00E5089B"/>
    <w:rsid w:val="00E9162F"/>
    <w:rsid w:val="00EC5217"/>
    <w:rsid w:val="00F06E77"/>
    <w:rsid w:val="00F23C82"/>
    <w:rsid w:val="00F32B87"/>
    <w:rsid w:val="00F560D2"/>
    <w:rsid w:val="00F6431F"/>
    <w:rsid w:val="00FE5D15"/>
    <w:rsid w:val="7DBC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paragraph" w:customStyle="1" w:styleId="11">
    <w:name w:val="Char Char1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1822</Words>
  <Characters>2159</Characters>
  <Lines>15</Lines>
  <Paragraphs>4</Paragraphs>
  <TotalTime>303</TotalTime>
  <ScaleCrop>false</ScaleCrop>
  <LinksUpToDate>false</LinksUpToDate>
  <CharactersWithSpaces>2177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2019-09-02T09:06:00Z</dcterms:created>
  <dc:creator>周继良</dc:creator>
  <cp:lastModifiedBy>胡仁东</cp:lastModifiedBy>
  <dcterms:modified xsi:type="dcterms:W3CDTF">2022-06-23T00:22:51Z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A39EF2855B684C5C9058C1BEDD79B4CA</vt:lpwstr>
  </property>
</Properties>
</file>